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32a EinSiG — Inanspruchnahme einer gesetzlichen Entschädigungseinrichtung im Rahmen einer Abwicklung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29.12.2020 (konsolidierte Textfassung, kein amtliches Inkrafttretensdatum)</w:t>
      </w:r>
    </w:p>
    <w:p>
      <w:r>
        <w:t xml:space="preserve">Die §§ 27 bis 32 sind im Falle der Inanspruchnahme einer gesetzlichen Entschädigungseinrichtung im Rahmen einer Abwicklung gemäß § 145 des Sanierungs- und Abwicklungsgesetzes entsprechend anzuwenden, wenn die verfügbaren Finanzmittel nicht ausreichen, um die sich aus § 145 des Sanierungs- und Abwicklungsgesetzes ergebende Pflicht zur Haftung zu erfüllen.</w:t>
      </w:r>
    </w:p>
    <w:p>
      <w:r>
        <w:rPr>
          <w:color w:val="555555"/>
          <w:sz w:val="17"/>
        </w:rPr>
        <w:t xml:space="preserve">Zitiervorschlag: § 32a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https://recht.nulegal.eu/gesetze/EinSiG/32a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