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32 EinSiG — Sofortige Vollziehbarkeit; Zwangsvollstreckung</w:t>
      </w:r>
    </w:p>
    <w:p>
      <w:r>
        <w:rPr>
          <w:color w:val="555555"/>
          <w:sz w:val="18"/>
        </w:rPr>
        <w:t xml:space="preserve">Einlagensicherungsgesetz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Widerspruch und Anfechtungsklage gegen Beitragsbescheide haben keine aufschiebende Wirkung.</w:t>
      </w:r>
    </w:p>
    <w:p>
      <w:r>
        <w:t xml:space="preserve">(2) Aus den Beitragsbescheiden der Entschädigungseinrichtung findet die Vollstreckung nach den Bestimmungen des Verwaltungsvollstreckungsgesetzes statt.</w:t>
      </w:r>
    </w:p>
    <w:p>
      <w:r>
        <w:rPr>
          <w:color w:val="555555"/>
          <w:sz w:val="17"/>
        </w:rPr>
        <w:t xml:space="preserve">Zitiervorschlag: § 32 EinSiG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https://recht.nulegal.eu/gesetze/EinSiG/32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