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EinSiG — Deckung des Mittelbedarfs durch Kredit; Sonderzahlungen</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Kann die Entschädigungseinrichtung den festgestellten Mittelbedarf im Entschädigungsfall nicht rechtzeitig zur Erfüllung ihrer Pflicht nach § 14 Absatz 3 durch die Erhebung von Sonderbeiträgen decken, hat sie einen Kredit aufzunehmen.</w:t>
      </w:r>
    </w:p>
    <w:p>
      <w:r>
        <w:t xml:space="preserve">(2) Wenn die Entschädigungseinrichtung den Kredit voraussichtlich nicht aus den verfügbaren Finanzmitteln bedienen kann, hat sie für die Tilgung, die Zinsen und die Kosten dieses Kredits Sonderzahlungen zu erheben. Sonderzahlungen werden jeweils sechs Wochen vor Fälligkeit der jeweiligen Forderung aus dem Kredit, frühestens jedoch zwei Wochen nach der Bekanntgabe der Sonderzahlungsbescheide fällig.</w:t>
      </w:r>
    </w:p>
    <w:p>
      <w:r>
        <w:t xml:space="preserve">(3) Anstelle der Erhebung von Sonderbeiträgen nach § 29 kann die Entschädigungseinrichtung einen Kredit aufnehmen, wenn zu erwarten ist, dass dieser Kredit einschließlich der Zinsen und Kosten innerhalb des laufenden und des darauffolgenden Abrechnungsjahres aus den verfügbaren Finanzmitteln vollständig zurückgeführt werden kann, ohne dass eine Erhebung von Sonderzahlungen nach Absatz 2 erforderlich wird.</w:t>
      </w:r>
    </w:p>
    <w:p>
      <w:r>
        <w:rPr>
          <w:color w:val="555555"/>
          <w:sz w:val="17"/>
        </w:rPr>
        <w:t xml:space="preserve">Zitiervorschlag: § 30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