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EinSiG — Informationen für den Einleger über die Einlagensicherung</w:t>
      </w:r>
    </w:p>
    <w:p>
      <w:r>
        <w:rPr>
          <w:color w:val="555555"/>
          <w:sz w:val="18"/>
        </w:rPr>
        <w:t xml:space="preserve">Einlagensicherungsgesetz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Internetseiten der Einlagensicherungssysteme müssen alle erforderlichen Informationen für die Gläubiger eines CRR-Kreditinstituts, die Inhaber einer Einlage sind (Einleger), enthalten, insbesondere Informationen über das Entschädigungsverfahren und die Bedingungen der Einlagensicherung nach Maßgabe dieses Gesetzes.</w:t>
      </w:r>
    </w:p>
    <w:p>
      <w:r>
        <w:t xml:space="preserve">(2) Die Informationen für die Einleger können die Funktionsweise des Einlagensicherungssystems sachlich beschreiben, dürfen aber keinen Verweis auf eine unbegrenzte Deckung von Einlagen enthalten.</w:t>
      </w:r>
    </w:p>
    <w:p>
      <w:r>
        <w:rPr>
          <w:color w:val="555555"/>
          <w:sz w:val="17"/>
        </w:rPr>
        <w:t xml:space="preserve">Zitiervorschlag: § 3 EinSiG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https://recht.nulegal.eu/gesetze/EinSiG/3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