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 EinSiG — Deckung des Mittelbedarfs durch Sonderbeiträge</w:t>
      </w:r>
    </w:p>
    <w:p>
      <w:r>
        <w:rPr>
          <w:color w:val="555555"/>
          <w:sz w:val="18"/>
        </w:rPr>
        <w:t xml:space="preserve">Einlagensicherungsgesetz</w:t>
      </w:r>
    </w:p>
    <w:p>
      <w:r>
        <w:rPr>
          <w:color w:val="555555"/>
          <w:sz w:val="18"/>
        </w:rPr>
        <w:t xml:space="preserve">Stand: 10.06.2019 (konsolidierte Textfassung, kein amtliches Inkrafttretensdatum)</w:t>
      </w:r>
    </w:p>
    <w:p>
      <w:r>
        <w:t xml:space="preserve">(1) Übersteigt der für einen Entschädigungsfall festgestellte Mittelbedarf zum Zeitpunkt der Feststellung die verfügbaren Finanzmittel der Entschädigungseinrichtung, hat die Entschädigungseinrichtung in dieser Höhe vorbehaltlich des § 30 unverzüglich Sonderbeiträge zu erheben, wenn dies zur Durchführung des Entschädigungsverfahrens erforderlich ist.</w:t>
      </w:r>
    </w:p>
    <w:p>
      <w:r>
        <w:t xml:space="preserve">(2) Stellt die Entschädigungseinrichtung fest, dass der tatsächliche Mittelbedarf für die Gesamtentschädigung im Entschädigungsfall den festgestellten Mittelbedarf übersteigt, ist die Entschädigungseinrichtung verpflichtet, unverzüglich nach dieser Feststellung weitere Sonderbeiträge zur Deckung des Mittelbedarfs zu erheben.</w:t>
      </w:r>
    </w:p>
    <w:p>
      <w:r>
        <w:t xml:space="preserve">(3) Sonderbeiträge werden mit der Bekanntgabe der Sonderbeitragsbescheide fällig.</w:t>
      </w:r>
    </w:p>
    <w:p>
      <w:r>
        <w:rPr>
          <w:color w:val="555555"/>
          <w:sz w:val="17"/>
        </w:rPr>
        <w:t xml:space="preserve">Zitiervorschlag: § 29 EinSiG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https://recht.nulegal.eu/gesetze/EinSiG/29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