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EinSiG — Feststellung des Mittelbedarfs im Entschädigungsfall</w:t>
      </w:r>
    </w:p>
    <w:p>
      <w:r>
        <w:rPr>
          <w:color w:val="555555"/>
          <w:sz w:val="18"/>
        </w:rPr>
        <w:t xml:space="preserve">Einlagensicherungsgesetz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Entschädigungseinrichtung hat unverzüglich nach der Unterrichtung durch die Bundesanstalt über einen Entschädigungsfall nach § 11 Absatz 2 den Mittelbedarf festzustellen.</w:t>
      </w:r>
    </w:p>
    <w:p>
      <w:r>
        <w:t xml:space="preserve">(2) Der Mittelbedarf ergibt sich aus der Gesamtentschädigung in diesem Entschädigungsfall zuzüglich der zur Durchführung dieses Entschädigungsfalls entstehenden Verwaltungskosten und sonstigen Kosten.</w:t>
      </w:r>
    </w:p>
    <w:p>
      <w:r>
        <w:t xml:space="preserve">(3) Die Gesamtentschädigung ist von der Entschädigungseinrichtung anhand der Unterlagen zu bestimmen, die von den CRR-Kreditinstituten nach § 14 Absatz 2 zu übermitteln sind. Lässt sich die Gesamtentschädigung anhand dieser Unterlagen nicht hinreichend bestimmen, hat die Entschädigungseinrichtung die Gesamtentschädigung insbesondere auf Grund folgender Daten zu schätzen:</w:t>
      </w:r>
    </w:p>
    <w:p>
      <w:pPr>
        <w:ind w:left="420"/>
      </w:pPr>
      <w:r>
        <w:t xml:space="preserve">1. der ihr vorliegenden Daten über den Entschädigungsfall,</w:t>
      </w:r>
    </w:p>
    <w:p>
      <w:pPr>
        <w:ind w:left="420"/>
      </w:pPr>
      <w:r>
        <w:t xml:space="preserve">2. der durchschnittlichen Entschädigungsleistung und</w:t>
      </w:r>
    </w:p>
    <w:p>
      <w:pPr>
        <w:ind w:left="420"/>
      </w:pPr>
      <w:r>
        <w:t xml:space="preserve">3. der Kosten aus den bisherigen Entschädigungsfällen bei den ihr zugeordneten CRR-Kreditinstituten.</w:t>
      </w:r>
    </w:p>
    <w:p>
      <w:r>
        <w:rPr>
          <w:color w:val="555555"/>
          <w:sz w:val="17"/>
        </w:rPr>
        <w:t xml:space="preserve">Zitiervorschlag: § 28 EinSiG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https://recht.nulegal.eu/gesetze/EinSiG/28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