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25a EinSiG — Verordnungsermächtigung zur Aufhebung der Beleihung und zur Rückgängigmachung der Errichtung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29.12.2020 (konsolidierte Textfassung, kein amtliches Inkrafttretensdatum)</w:t>
      </w:r>
    </w:p>
    <w:p>
      <w:r>
        <w:t xml:space="preserve">(1) Das Bundesministerium der Finanzen kann durch Rechtsverordnung, die nicht der Zustimmung des Bundesrates bedarf,</w:t>
      </w:r>
    </w:p>
    <w:p>
      <w:pPr>
        <w:ind w:left="420"/>
      </w:pPr>
      <w:r>
        <w:t xml:space="preserve">1. die Beleihung einer Entschädigungseinrichtung nach § 23 Absatz 1 Satz 1 aufheben oder</w:t>
      </w:r>
    </w:p>
    <w:p>
      <w:pPr>
        <w:ind w:left="420"/>
      </w:pPr>
      <w:r>
        <w:t xml:space="preserve">2. die Errichtung einer Entschädigungseinrichtung bei der Kreditanstalt für Wiederaufbau nach § 23 Absatz 2 rückgängig machen.</w:t>
      </w:r>
    </w:p>
    <w:p>
      <w:r>
        <w:t xml:space="preserve">(2) In der Verordnung nach Absatz 1 legt das Bundesministerium der Finanzen fest, welche gesetzliche Entschädigungseinrichtung (nachfolgende Entschädigungseinrichtung) derjenigen gesetzlichen Entschädigungseinrichtung nach den Vorgaben der Absätze 3 bis 7 nachfolgt, deren Beleihung aufgehoben oder deren Errichtung rückgängig gemacht wird (ehemalige Entschädigungseinrichtung). Die betroffenen Entschädigungseinrichtungen sind vor Erlass der Verordnung nach Absatz 1 anzuhören.</w:t>
      </w:r>
    </w:p>
    <w:p>
      <w:r>
        <w:t xml:space="preserve">(3) Mit dem Tag des Inkrafttretens der Verordnung nach Absatz 1 tritt die nachfolgende Entschädigungseinrichtung in Bezug auf die verfügbaren Finanzmittel der ehemaligen Entschädigungseinrichtung und die zur Deckung von Verwaltungs- und sonstigen Kosten vorhandenen Finanzmittel nach § 26 Absatz 1 im Wege der Rechtsnachfolge in die Rechte und Pflichten der ehemaligen Entschädigungseinrichtung ein. Von der Rechtsnachfolge ausgenommen sind die verfügbaren Finanzmittel, die nach Absatz 4 auf ein institutsbezogenes Sicherungssystem nach § 2 Absatz 1 Nummer 2 zu übertragen sind. Die nachfolgende Entschädigungseinrichtung tritt mit dem Inkrafttreten der Verordnung nach Absatz 1 in sämtliche hoheitlichen Rechte und Pflichten der ehemaligen Entschädigungseinrichtung nach diesem Gesetz ein. Alle zum Zeitpunkt des Inkrafttretens der Verordnung nach Absatz 1 anhängigen Verwaltungsverfahren, Widerspruchsverfahren und Verwaltungsstreitverfahren der ehemaligen Entschädigungseinrichtung werden von der nachfolgenden Entschädigungseinrichtung aus eigenem Recht und in eigenem Namen fortgesetzt.</w:t>
      </w:r>
    </w:p>
    <w:p>
      <w:r>
        <w:t xml:space="preserve">(4) Schließt sich ein CRR-Kreditinstitut, das vor dem Inkrafttreten der Verordnung nach Absatz 1 der ehemaligen Entschädigungseinrichtung zugeordnet war, mit dem Zeitpunkt des Inkrafttretens der Verordnung nach Absatz 1 einem institutsbezogenen Sicherungssystem nach § 2 Absatz 1 Nummer 2 an, so ist die ehemalige Entschädigungseinrichtung verpflichtet, unverzüglich einen Anteil ihrer zum Zeitpunkt des Inkrafttretens der Verordnung nach Absatz 1 verfügbaren Finanzmittel an das institutsbezogene Sicherungssystem zu übertragen. Der zu übertragende Anteil entspricht dem Anteil der gedeckten Einlagen des CRR-Kreditinstituts nach § 8 Absatz 1 an den gesamten Einlagen aller der ehemaligen Entschädigungseinrichtung zugeordneten CRR-Kreditinstitute. Zur Ermittlung des zu übertragenden Anteils ist der Wert der gedeckten Einlagen aller der ehemaligen Entschädigungseinrichtung zugeordneten CRR-Kreditinstitute zum Zeitpunkt der letzten Beitragsberechnung vor dem Übertritt zu dem institutsbezogenen Sicherungssystem maßgeblich.</w:t>
      </w:r>
    </w:p>
    <w:p>
      <w:r>
        <w:t xml:space="preserve">(5) Die Zugehörigkeit zu einem institutsbezogenen Sicherungssystem nach § 2 Absatz 1 Nummer 2 muss zum Zeitpunkt des Inkrafttretens der Verordnung nach Absatz 1 wirksam werden. Dies ist der Bundesanstalt von dem aufnehmenden institutsbezogenen Sicherungssystem vor der Übertragung der Finanzmittel nach Absatz 4 nachzuweisen. Dazu sind der Bundesanstalt die entsprechenden Nachweise, wie Beschlüsse, Beitrittserklärungen oder anderweitig gemäß Satzung erforderliche Rechtsakte, unverzüglich vorzulegen.</w:t>
      </w:r>
    </w:p>
    <w:p>
      <w:r>
        <w:t xml:space="preserve">(6) Die Einzelheiten der Rechtsnachfolge regeln die nachfolgende und die ehemalige Entschädigungseinrichtung durch Vertrag, der der Zustimmung der Bundesanstalt bedarf.</w:t>
      </w:r>
    </w:p>
    <w:p>
      <w:r>
        <w:t xml:space="preserve">(7) Die Bundesanstalt kann die zur Durchführung der Absätze 1 bis 6 erforderlichen Anordnungen treffen.</w:t>
      </w:r>
    </w:p>
    <w:p>
      <w:r>
        <w:rPr>
          <w:color w:val="555555"/>
          <w:sz w:val="17"/>
        </w:rPr>
        <w:t xml:space="preserve">Zitiervorschlag: § 25a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https://recht.nulegal.eu/gesetze/EinSiG/25a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