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 EinSiG — Rechtsfolgen bei Wechsel der gesetzlichen Entschädigungseinrichtung</w:t>
      </w:r>
    </w:p>
    <w:p>
      <w:r>
        <w:rPr>
          <w:color w:val="555555"/>
          <w:sz w:val="18"/>
        </w:rPr>
        <w:t xml:space="preserve">Einlagensicherungsgesetz</w:t>
      </w:r>
    </w:p>
    <w:p>
      <w:r>
        <w:rPr>
          <w:color w:val="555555"/>
          <w:sz w:val="18"/>
        </w:rPr>
        <w:t xml:space="preserve">Stand: 29.12.2020 (konsolidierte Textfassung, kein amtliches Inkrafttretensdatum)</w:t>
      </w:r>
    </w:p>
    <w:p>
      <w:r>
        <w:t xml:space="preserve">(1) Während der Antragsfrist nach § 24 Absatz 6 bleibt ein CRR-Kreditinstitut weiterhin verpflichtet, Beiträge und Zahlungen an seine bisherige Entschädigungseinrichtung nach den §§ 26 und 27 Absatz 1 Nummer 1 und 2 zu leisten.</w:t>
      </w:r>
    </w:p>
    <w:p>
      <w:r>
        <w:t xml:space="preserve">(2) Wird ein CRR-Kreditinstitut auf Antrag einer anderen gesetzlichen Entschädigungseinrichtung zugeordnet, so hat die gesetzliche Entschädigungseinrichtung, der das CRR-Kreditinstitut bisher angehörte, die Beiträge und Zahlungen mit Ausnahme der Sonderbeiträge und Sonderzahlungen nach § 27 Absatz 1 Nummer 1 und 2, die in den zwölf Monaten vor Ende der Zuordnung gezahlt wurden, auf diese Entschädigungseinrichtung zu übertragen.</w:t>
      </w:r>
    </w:p>
    <w:p>
      <w:r>
        <w:t xml:space="preserve">(3) Das CRR-Kreditinstitut hat seine Einleger innerhalb eines Monats nach dem Wechsel zu einer gesetzlichen Entschädigungseinrichtung über diesen Wechsel zu informieren.</w:t>
      </w:r>
    </w:p>
    <w:p>
      <w:r>
        <w:rPr>
          <w:color w:val="555555"/>
          <w:sz w:val="17"/>
        </w:rPr>
        <w:t xml:space="preserve">Zitiervorschlag: § 25 EinSiG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https://recht.nulegal.eu/gesetze/EinSiG/25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