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EinSiG — Zuordnung der CRR-Kreditinstitute zu einer gesetzlichen Entschädigungseinrichtung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(1) Den gesetzlichen Entschädigungseinrichtungen wird jeweils eine der folgenden Institutsgruppen zugeordnet:</w:t>
      </w:r>
    </w:p>
    <w:p>
      <w:pPr>
        <w:ind w:left="420"/>
      </w:pPr>
      <w:r>
        <w:t xml:space="preserve">1. Institutsgruppe der privatrechtlichen CRR-Kreditinstitute oder</w:t>
      </w:r>
    </w:p>
    <w:p>
      <w:pPr>
        <w:ind w:left="420"/>
      </w:pPr>
      <w:r>
        <w:t xml:space="preserve">2. Institutsgruppe der öffentlich-rechtlichen CRR-Kreditinstitute.</w:t>
      </w:r>
    </w:p>
    <w:p>
      <w:r>
        <w:t xml:space="preserve">(2) Besteht nur eine gesetzliche Entschädigungseinrichtung, so sind die CRR-Kreditinstitute dieser Entschädigungseinrichtung zugeordnet.</w:t>
      </w:r>
    </w:p>
    <w:p>
      <w:r>
        <w:t xml:space="preserve">(3) Werden nach dem 29. Dezember 2020 neue Entschädigungseinrichtungen beliehen oder errichtet, richtet sich die Zuordnung der CRR-Kreditinstitute abweichend von Absatz 1 nach den Kriterien, die das Bundesministerium der Finanzen durch Rechtsverordnung, die nicht der Zustimmung des Bundesrates bedarf, festlegt.</w:t>
      </w:r>
    </w:p>
    <w:p>
      <w:r>
        <w:t xml:space="preserve">(4) Die Bundesanstalt kann ein CRR-Kreditinstitut auf Antrag einer anderen gesetzlichen Entschädigungseinrichtung zuordnen, wenn</w:t>
      </w:r>
    </w:p>
    <w:p>
      <w:pPr>
        <w:ind w:left="420"/>
      </w:pPr>
      <w:r>
        <w:t xml:space="preserve">1. das CRR-Kreditinstitut ein berechtigtes Interesse an der beantragten Zuordnung darlegt,</w:t>
      </w:r>
    </w:p>
    <w:p>
      <w:pPr>
        <w:ind w:left="420"/>
      </w:pPr>
      <w:r>
        <w:t xml:space="preserve">2. die Erfüllung der Aufgabe der Entschädigungseinrichtung, der das CRR-Kreditinstitut angehört, nicht gefährdet wird und</w:t>
      </w:r>
    </w:p>
    <w:p>
      <w:pPr>
        <w:ind w:left="420"/>
      </w:pPr>
      <w:r>
        <w:t xml:space="preserve">3. die andere Entschädigungseinrichtung der beantragten Zuordnung zustimmt.</w:t>
      </w:r>
    </w:p>
    <w:p>
      <w:r>
        <w:t xml:space="preserve">(5) Die Bundesanstalt kann CRR-Kreditinstitute auch dann einer anderen gesetzlichen Entschädigungseinrichtung zuordnen, wenn alle CRR-Kreditinstitute, die einer Entschädigungseinrichtung angehören,</w:t>
      </w:r>
    </w:p>
    <w:p>
      <w:pPr>
        <w:ind w:left="420"/>
      </w:pPr>
      <w:r>
        <w:t xml:space="preserve">1. die Zuordnung zu einer anderen Entschädigungseinrichtung beantragt haben und</w:t>
      </w:r>
    </w:p>
    <w:p>
      <w:pPr>
        <w:ind w:left="420"/>
      </w:pPr>
      <w:r>
        <w:t xml:space="preserve">2. die andere Entschädigungseinrichtung der beantragten Zuordnung zustimmt.</w:t>
      </w:r>
    </w:p>
    <w:p>
      <w:r>
        <w:t xml:space="preserve">(6) Ein Antrag nach Absatz 2 oder Absatz 3 ist mindestens sechs Monate vor dem beabsichtigten Wechsel der Entschädigungseinrichtung zu stellen.</w:t>
      </w:r>
    </w:p>
    <w:p>
      <w:r>
        <w:t xml:space="preserve">(7) Ein CRR-Kreditinstitut ist von der Zuordnung zu einer gesetzlichen Entschädigungseinrichtung befreit, wenn es einem nach § 43 anerkannten institutsbezogenen Sicherungssystem angehört.</w:t>
      </w:r>
    </w:p>
    <w:p>
      <w:r>
        <w:rPr>
          <w:color w:val="555555"/>
          <w:sz w:val="17"/>
        </w:rPr>
        <w:t xml:space="preserve">Zitiervorschlag: § 24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