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EinSiG — Verordnungsermächtigung</w:t>
      </w:r>
    </w:p>
    <w:p>
      <w:r>
        <w:rPr>
          <w:color w:val="555555"/>
          <w:sz w:val="18"/>
        </w:rPr>
        <w:t xml:space="preserve">Einlagensicherungsgesetz</w:t>
      </w:r>
    </w:p>
    <w:p>
      <w:r>
        <w:rPr>
          <w:color w:val="555555"/>
          <w:sz w:val="18"/>
        </w:rPr>
        <w:t xml:space="preserve">Stand: 29.12.2020 (konsolidierte Textfassung, kein amtliches Inkrafttretensdatum)</w:t>
      </w:r>
    </w:p>
    <w:p>
      <w:r>
        <w:t xml:space="preserve">(1) Das Bundesministerium der Finanzen wird ermächtigt, durch Rechtsverordnung, die nicht der Zustimmung des Bundesrates bedarf, einer juristischen Person des Privatrechts die Aufgaben und Befugnisse einer gesetzlichen Entschädigungseinrichtung zuzuweisen (Beleihung), wenn diese juristische Person bereit ist, die Aufgaben der Entschädigungseinrichtung zu übernehmen, und hinreichende Gewähr für die Erfüllung der Ansprüche der Entschädigungsberechtigten bietet. Eine juristische Person bietet hinreichende Gewähr, wenn</w:t>
      </w:r>
    </w:p>
    <w:p>
      <w:pPr>
        <w:ind w:left="420"/>
      </w:pPr>
      <w:r>
        <w:t xml:space="preserve">1. die Personen, die nach Gesetz oder Satzung die Geschäftsführung und Vertretung der juristischen Person ausüben, zuverlässig und geeignet sind und</w:t>
      </w:r>
    </w:p>
    <w:p>
      <w:pPr>
        <w:ind w:left="420"/>
      </w:pPr>
      <w:r>
        <w:t xml:space="preserve">2. sie über die zur Erfüllung ihrer Aufgaben notwendige Ausstattung und Organisation, insbesondere für die Beitragserhebung, die Verwaltung der Mittel und die Auszahlung der Entschädigungen, verfügt und dafür eigene Mittel im Gegenwert von mindestens einer Million Euro vorhält.</w:t>
      </w:r>
    </w:p>
    <w:p>
      <w:r>
        <w:t xml:space="preserve">Durch die Rechtsverordnung nach Satz 1 kann sich das Bundesministerium der Finanzen die Genehmigung der Satzung und von Änderungen der Satzung der juristischen Person vorbehalten und nähere Bestimmungen über die Auflösung und Abwicklung der Entschädigungseinrichtung erlassen.</w:t>
      </w:r>
    </w:p>
    <w:p>
      <w:r>
        <w:t xml:space="preserve">(2) Das Bundesministerium der Finanzen wird ermächtigt, durch Rechtsverordnung, die nicht der Zustimmung des Bundesrates bedarf, gesetzliche Entschädigungseinrichtungen bei der Kreditanstalt für Wiederaufbau zu errichten und nähere Bestimmungen zur Verwaltung der gesetzlichen Entschädigungseinrichtungen und zur angemessenen Vergütung der Verwaltung zu erlassen, wenn gesetzliche Entschädigungseinrichtungen nach § 22 Absatz 2 Nummer 1 nicht zur Verfügung stehen, insbesondere wenn eine solche Entschädigungseinrichtung aufgelöst oder abgewickelt wird.</w:t>
      </w:r>
    </w:p>
    <w:p>
      <w:r>
        <w:rPr>
          <w:color w:val="555555"/>
          <w:sz w:val="17"/>
        </w:rPr>
        <w:t xml:space="preserve">Zitiervorschlag: § 23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