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EinSiG — Verwendung der verfügbaren Finanzmittel</w:t>
      </w:r>
    </w:p>
    <w:p>
      <w:r>
        <w:rPr>
          <w:color w:val="555555"/>
          <w:sz w:val="18"/>
        </w:rPr>
        <w:t xml:space="preserve">Einlagensicherungsgesetz</w:t>
      </w:r>
    </w:p>
    <w:p>
      <w:r>
        <w:rPr>
          <w:color w:val="555555"/>
          <w:sz w:val="18"/>
        </w:rPr>
        <w:t xml:space="preserve">Stand: 29.12.2020 (konsolidierte Textfassung, kein amtliches Inkrafttretensdatum)</w:t>
      </w:r>
    </w:p>
    <w:p>
      <w:r>
        <w:t xml:space="preserve">(1) Die verfügbaren Finanzmittel der Einlagensicherungssysteme sind für folgende Zwecke zu verwenden:</w:t>
      </w:r>
    </w:p>
    <w:p>
      <w:pPr>
        <w:ind w:left="420"/>
      </w:pPr>
      <w:r>
        <w:t xml:space="preserve">1. zur Entschädigung der Einleger und zur Finanzierung der Entschädigung der Einleger nach Maßgabe dieses Gesetzes,</w:t>
      </w:r>
    </w:p>
    <w:p>
      <w:pPr>
        <w:ind w:left="420"/>
      </w:pPr>
      <w:r>
        <w:t xml:space="preserve">2. für Ausgleichsbeiträge gemäß § 145 des Sanierungs- und Abwicklungsgesetzes im Rahmen einer Abwicklung von CRR-Kreditinstituten.</w:t>
      </w:r>
    </w:p>
    <w:p>
      <w:r>
        <w:t xml:space="preserve">(2) Anerkannte institutsbezogene Sicherungssysteme können ihre verfügbaren Finanzmittel auch für Maßnahmen nach Maßgabe des § 49 verwenden.</w:t>
      </w:r>
    </w:p>
    <w:p>
      <w:r>
        <w:rPr>
          <w:color w:val="555555"/>
          <w:sz w:val="17"/>
        </w:rPr>
        <w:t xml:space="preserve">Zitiervorschlag: § 20 EinSiG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https://recht.nulegal.eu/gesetze/EinSiG/20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