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EinSiG — Verfügbare Finanzmittel</w:t>
      </w:r>
    </w:p>
    <w:p>
      <w:r>
        <w:rPr>
          <w:color w:val="555555"/>
          <w:sz w:val="18"/>
        </w:rPr>
        <w:t xml:space="preserve">Einlagensicherungsgesetz</w:t>
      </w:r>
    </w:p>
    <w:p>
      <w:r>
        <w:rPr>
          <w:color w:val="555555"/>
          <w:sz w:val="18"/>
        </w:rPr>
        <w:t xml:space="preserve">Stand: 10.06.2019 (konsolidierte Textfassung, kein amtliches Inkrafttretensdatum)</w:t>
      </w:r>
    </w:p>
    <w:p>
      <w:r>
        <w:t xml:space="preserve">(1) Als verfügbare Finanzmittel im Sinne dieses Gesetzes sind Bargeld sowie Einlagen und risikoarme Schuldtitel, die innerhalb des in § 14 Absatz 3 genannten Zeitraums liquidiert werden können, zu berücksichtigen. Risikoarme Schuldtitel sind Titel, die unter die erste oder zweite der in Tabelle 1 des Artikels 336 der Verordnung (EU) Nr. 575/2013 genannten Kategorien fallen, sowie alle Titel, von denen die Bundesanstalt auf Antrag eines Einlagensicherungssystems feststellt, dass diese Titel als ähnlich sicher und liquide anzusehen sind.</w:t>
      </w:r>
    </w:p>
    <w:p>
      <w:r>
        <w:t xml:space="preserve">(2) Als verfügbare Finanzmittel können abweichend von Absatz 1 auch Zahlungsverpflichtungen eines CRR-Kreditinstituts gegenüber einem Einlagensicherungssystem berücksichtigt werden, wenn</w:t>
      </w:r>
    </w:p>
    <w:p>
      <w:pPr>
        <w:ind w:left="420"/>
      </w:pPr>
      <w:r>
        <w:t xml:space="preserve">1. diese Zahlungsverpflichtungen vollständig besichert sind und</w:t>
      </w:r>
    </w:p>
    <w:p>
      <w:pPr>
        <w:ind w:left="420"/>
      </w:pPr>
      <w:r>
        <w:t xml:space="preserve">2. die Sicherheiten für diese Zahlungsverpflichtungen</w:t>
      </w:r>
    </w:p>
    <w:p>
      <w:pPr>
        <w:ind w:left="780"/>
      </w:pPr>
      <w:r>
        <w:t xml:space="preserve">a) für das Einlagensicherungssystem verfügbar sind,</w:t>
      </w:r>
    </w:p>
    <w:p>
      <w:pPr>
        <w:ind w:left="780"/>
      </w:pPr>
      <w:r>
        <w:t xml:space="preserve">b) aus risikoarmen Schuldtiteln bestehen und</w:t>
      </w:r>
    </w:p>
    <w:p>
      <w:pPr>
        <w:ind w:left="780"/>
      </w:pPr>
      <w:r>
        <w:t xml:space="preserve">c) nicht mit Rechten Dritter belastet sind.</w:t>
      </w:r>
    </w:p>
    <w:p>
      <w:r>
        <w:t xml:space="preserve">(3) Der Gesamtanteil der Zahlungsverpflichtungen nach Absatz 2 an den verfügbaren Finanzmitteln ist im Hinblick auf die Anerkennung der Zielausstattung auf höchstens 30 Prozent der verfügbaren Finanzmittel des jeweiligen Einlagensicherungssystems begrenzt.</w:t>
      </w:r>
    </w:p>
    <w:p>
      <w:r>
        <w:t xml:space="preserve">(4) Die verfügbaren Finanzmittel müssen risikoarm und ausreichend diversifiziert angelegt werden. Sie sind so anzulegen, dass eine möglichst große Sicherheit und eine ausreichende Liquidität der Anlagen bei angemessener Rentabilität gewährleistet sind. Die Erträge aus der Anlage der verfügbaren Finanzmittel können zur Deckung der Verwaltungskosten und sonstigen Kosten der Einlagensicherungssysteme verwendet werden.</w:t>
      </w:r>
    </w:p>
    <w:p>
      <w:r>
        <w:rPr>
          <w:color w:val="555555"/>
          <w:sz w:val="17"/>
        </w:rPr>
        <w:t xml:space="preserve">Zitiervorschlag: § 18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