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EinSiG — Im Entschädigungsverfahren zu verwendende Sprachen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Schriftwechsel zwischen dem Einlagensicherungssystem und dem Einleger ist in einer der folgenden Sprachen abzufassen:</w:t>
      </w:r>
    </w:p>
    <w:p>
      <w:pPr>
        <w:ind w:left="420"/>
      </w:pPr>
      <w:r>
        <w:t xml:space="preserve">1. in der Amtssprache der Organe der Union, die das CRR-Kreditinstitut, das die gedeckte Einlage hält, in seinem Schriftverkehr mit dem Einleger verwendet, oder</w:t>
      </w:r>
    </w:p>
    <w:p>
      <w:pPr>
        <w:ind w:left="420"/>
      </w:pPr>
      <w:r>
        <w:t xml:space="preserve">2. in der oder den Amtssprachen des Mitgliedstaats, in dem sich die gedeckte Einlage befindet.</w:t>
      </w:r>
    </w:p>
    <w:p>
      <w:r>
        <w:t xml:space="preserve">(2) Ist ein CRR-Kreditinstitut unmittelbar in einem anderen Mitgliedstaat tätig, ohne Zweigstellen errichtet zu haben, so ist die Sprache zu verwenden, die der Einleger bei Kontoeröffnung gewählt hat.</w:t>
      </w:r>
    </w:p>
    <w:p>
      <w:r>
        <w:rPr>
          <w:color w:val="555555"/>
          <w:sz w:val="17"/>
        </w:rPr>
        <w:t xml:space="preserve">Zitiervorschlag: § 13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