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EinSiG — Eintritt und Feststellung des Entschädigungsfalls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Entschädigungsfall im Sinne dieses Gesetzes tritt ein, wenn die Bundesanstalt feststellt, dass</w:t>
      </w:r>
    </w:p>
    <w:p>
      <w:pPr>
        <w:ind w:left="420"/>
      </w:pPr>
      <w:r>
        <w:t xml:space="preserve">1. ein CRR-Kreditinstitut aus Gründen, die mit seiner Finanzlage unmittelbar zusammenhängen, vorerst nicht in der Lage ist, fällige Einlagen zurückzuzahlen, und</w:t>
      </w:r>
    </w:p>
    <w:p>
      <w:pPr>
        <w:ind w:left="420"/>
      </w:pPr>
      <w:r>
        <w:t xml:space="preserve">2. gegenwärtig keine Aussicht besteht, dass das CRR-Kreditinstitut dazu zukünftig in der Lage sein wird.</w:t>
      </w:r>
    </w:p>
    <w:p>
      <w:r>
        <w:t xml:space="preserve">(2) Die Bundesanstalt hat den Entschädigungsfall unverzüglich festzustellen, spätestens jedoch innerhalb von fünf Arbeitstagen, nachdem sie davon Kenntnis erlangt hat, dass ein CRR-Kreditinstitut nicht in der Lage ist, fällige Einlagen zurückzuzahlen. Sie hat den Entschädigungsfall auch festzustellen, wenn sie gegenüber dem CRR-Kreditinstitut Maßnahmen nach § 46 Absatz 1 Satz 2 Nummer 4 bis 6 des Kreditwesengesetzes angeordnet hat und diese Maßnahmen länger als sechs Wochen andauern.</w:t>
      </w:r>
    </w:p>
    <w:p>
      <w:r>
        <w:t xml:space="preserve">(3) Widerspruch und Anfechtungsklage gegen die Feststellung des Entschädigungsfalls haben keine aufschiebende Wirkung.</w:t>
      </w:r>
    </w:p>
    <w:p>
      <w:r>
        <w:rPr>
          <w:color w:val="555555"/>
          <w:sz w:val="17"/>
        </w:rPr>
        <w:t xml:space="preserve">Zitiervorschlag: § 10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