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EigenkontrollVO (Sachsen) — Ordnungswidrigkeiten</w:t>
      </w:r>
    </w:p>
    <w:p>
      <w:r>
        <w:rPr>
          <w:color w:val="555555"/>
          <w:sz w:val="18"/>
        </w:rPr>
        <w:t xml:space="preserve">Eigenkontrollverordnung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handelt nach § 122 Abs. 1 Nr. 24 SächsWG , wer vorsätzlich oder fahrlässig</w:t>
      </w:r>
    </w:p>
    <w:p>
      <w:r>
        <w:t xml:space="preserve">1. als Betreiber einer Anlage die nach § 3 Abs. 1 in Verbindung mit den Anhängen 1 bis 3 vorgeschriebenen Überprüfungen, Untersuchungen und Messungen nicht oder unrichtig durchführt oder durchführen läßt,</w:t>
      </w:r>
    </w:p>
    <w:p>
      <w:r>
        <w:t xml:space="preserve">2. Eintragungen in das Betriebstagebuch gemäß § 4 unterläßt oder unrichtig vornimmt,</w:t>
      </w:r>
    </w:p>
    <w:p>
      <w:r>
        <w:t xml:space="preserve">3. die Eintragungen im Betriebstagebuch gemäß § 4 Abs. 2 nicht oder nicht termingerecht gegenzeichnen läßt,</w:t>
      </w:r>
    </w:p>
    <w:p>
      <w:r>
        <w:t xml:space="preserve">4. als Betreiber der Anlage das Betriebstagebuch der zuständigen Wasserbehörde oder deren Beauftragten auf Verlangen nicht vorlegt oder die Übergabe von Kopien oder Abschriften verweigert,</w:t>
      </w:r>
    </w:p>
    <w:p>
      <w:r>
        <w:t xml:space="preserve">5. die Aufbewahrungsfristen für Aufzeichnungen nach § 4 Abs. 5 nicht einhält,</w:t>
      </w:r>
    </w:p>
    <w:p>
      <w:r>
        <w:t xml:space="preserve">6. seiner Meldepflicht von Betriebsstörungen gemäß § 5 nicht oder nicht im erforderlichen Umfang nachkommt,</w:t>
      </w:r>
    </w:p>
    <w:p>
      <w:r>
        <w:t xml:space="preserve">7. keinen oder einen nicht mindestens den Anforderungen des § 6 Abs. 2 entsprechenden Jahresbericht bis zum in § 6 Abs. 1 genannten Termin vorlegt,</w:t>
      </w:r>
    </w:p>
    <w:p>
      <w:r>
        <w:t xml:space="preserve">8. seiner Pflicht zur Nachrüstung bestehender Abwasseranlagen gemäß § 8 Abs. 1 nicht oder nicht im erforderlichen Umfang nachkommt.</w:t>
      </w:r>
    </w:p>
    <w:p>
      <w:r>
        <w:rPr>
          <w:color w:val="555555"/>
          <w:sz w:val="17"/>
        </w:rPr>
        <w:t xml:space="preserve">Zitiervorschlag: § 9 EigenkontrollVO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https://recht.nulegal.eu/gesetze/EigenkontrollVO/9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