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EigenkontrollVO (Sachsen) — Ausnahmen</w:t>
      </w:r>
    </w:p>
    <w:p>
      <w:r>
        <w:rPr>
          <w:color w:val="555555"/>
          <w:sz w:val="18"/>
        </w:rPr>
        <w:t xml:space="preserve">Eigenkontrollverordnung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begründeten Ausnahmefällen kann die zuständige Wasserbehörde auf Antrag widerruflich Abweichungen vom Umfang der Eigenkontrollpflicht zulassen, wenn eine einwandfreie Kontrolle auf andere Weise gewährleistet ist.</w:t>
      </w:r>
    </w:p>
    <w:p>
      <w:r>
        <w:t xml:space="preserve">(2) Die Befugnis der zuständigen Wasserbehörde, in der Genehmigung der Abwasserbehandlungsanlage oder in der Erlaubnis bzw. Genehmigung der Abwassereinleitung weitergehende Zustands- und Funktionskontrollen, die Ermittlung weiterer Betriebskenndaten, die Eigenüberwachung weiterer Abwasserinhaltsstoffe oder eine größere Häufigkeit vorzunehmender Kontrollen zu fordern, bleibt unberührt.</w:t>
      </w:r>
    </w:p>
    <w:p>
      <w:r>
        <w:rPr>
          <w:color w:val="555555"/>
          <w:sz w:val="17"/>
        </w:rPr>
        <w:t xml:space="preserve">Zitiervorschlag: § 7 EigenkontrollVO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https://recht.nulegal.eu/gesetze/EigenkontrollVO/7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