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EigenkontrollVO (Sachsen) — Bestätigungen</w:t>
      </w:r>
    </w:p>
    <w:p>
      <w:r>
        <w:rPr>
          <w:color w:val="555555"/>
          <w:sz w:val="18"/>
        </w:rPr>
        <w:t xml:space="preserve">Eigenkontrollverordnung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Bestätigungen von Laboren, die am 28. Dezember 2009 bestehen, gelten bis zum Ablauf ihrer Befristung fort.</w:t>
      </w:r>
    </w:p>
    <w:p>
      <w:r>
        <w:t xml:space="preserve">(2) Ein Labor wird auf Antrag durch das Landesamt für Umwelt, Landwirtschaft und Geologie bestätigt, wenn es erfolgreich an den Ringversuchen des Landesamtes für Umwelt, Landwirtschaft und Geologie, die nach den anerkannten Regeln der Technik durchzuführen sind und den Nachweis der Geeignetheit hinsichtlich des beschäftigten Personals, der Laborausstattung, der angewandten Analytik sowie der Qualitätssicherung einschließen, teilgenommen hat. Die oberste Wasserbehörde führt die allgemein anerkannten Regeln der Technik nach Satz 1 durch öffentliche Bekanntmachung ein. Die Bestätigungen nach Satz 1 sind auf drei Jahre zu befristen. Sie verlängern sich automatisch um drei Jahre bei erfolgreicher Wiederholung der Teilnahme an den Ringversuchen. Im Übrigen findet § 42a des Verwaltungsverfahrensgesetzes (VwVfG) in der Fassung der Bekanntmachung vom 23. Januar 2003 (BGBl. I S. 102), das zuletzt durch Artikel 2 Abs. 1 des Gesetzes vom 14. August 2009 (BGBl. I S. 2827) geändert worden ist, in der jeweils geltenden Fassung, mit der Maßgabe Anwendung, dass die Frist nach § 42 Abs. 2 Satz 1 VwVfG sechs Monate beträgt. Das Verfahren zur Bestätigung kann auch über die einheitliche Stelle nach § 1 des Gesetzes über den einheitlichen Ansprechpartner im Freistaat Sachsen ( SächsEAG ) vom 13. August 2009 (SächsGVBl. S. 446), zuletzt geändert durch Artikel 40 des Gesetzes vom 27. Januar 2012 (SächsGVBl. S. 130, 146), in der jeweils geltenden Fassung, geändert worden ist, in Verbindung mit den §§ 71a bis e VwVfG abgewickelt werden. Die Bestätigung von Prüflaboren nach § 112 Abs. 3 SächsWG schließt die Bestätigung nach Satz 1 ein.</w:t>
      </w:r>
    </w:p>
    <w:p>
      <w:r>
        <w:t xml:space="preserve">(3) Die Bestätigung durch ein anderes Land der Bundesrepublik Deutschland, einen anderen Mitgliedstaat der Europäischen Union oder einen Vertragsstaat des Abkommens über den Europäischen Wirtschaftsraum ersetzt die Bestätigung nach dieser Vorschrift, sofern die Voraussetzungen für die Bestätigung gleichwertig sind. Zum Nachweis der Gleichwertigkeit dürfen Zeugnisse, Bescheinigungen oder sonstige Dokumente nur nach Maßgabe des Artikels 5 Abs. 3 der Richtlinie 2006/123/EG des Europäischen Parlaments und des Rates vom 12. Dezember 2006 über Dienstleistungen im Binnenmarkt (ABl. L 376 vom 27. Dezember 2006, S. 36) verlangt werden.</w:t>
      </w:r>
    </w:p>
    <w:p>
      <w:r>
        <w:rPr>
          <w:color w:val="555555"/>
          <w:sz w:val="17"/>
        </w:rPr>
        <w:t xml:space="preserve">Zitiervorschlag: § 2a EigenkontrollVO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https://recht.nulegal.eu/gesetze/EigenkontrollVO/2a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