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EigenkontrollVO (Sachsen) — Inkrafttreten</w:t>
      </w:r>
    </w:p>
    <w:p>
      <w:r>
        <w:rPr>
          <w:color w:val="555555"/>
          <w:sz w:val="18"/>
        </w:rPr>
        <w:t xml:space="preserve">Eigenkontrollverordnung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7. Oktober 1994</w:t>
      </w:r>
    </w:p>
    <w:p>
      <w:r>
        <w:t xml:space="preserve">Der Staatsminister</w:t>
      </w:r>
    </w:p>
    <w:p>
      <w:r>
        <w:t xml:space="preserve">für Umwelt und Landesentwicklung</w:t>
      </w:r>
    </w:p>
    <w:p>
      <w:r>
        <w:t xml:space="preserve">Arnold Vaatz</w:t>
      </w:r>
    </w:p>
    <w:p>
      <w:r>
        <w:rPr>
          <w:color w:val="555555"/>
          <w:sz w:val="17"/>
        </w:rPr>
        <w:t xml:space="preserve">Zitiervorschlag: § 10 EigenkontrollVO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https://recht.nulegal.eu/gesetze/EigenkontrollVO/10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