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EigenVerbV</w:t>
      </w:r>
    </w:p>
    <w:p>
      <w:r>
        <w:rPr>
          <w:color w:val="555555"/>
          <w:sz w:val="18"/>
        </w:rPr>
        <w:t xml:space="preserve">Eigenverbrauchsverordnung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3 Satz 2 Nr. 2 des Dritten Verstromungsgesetzes vom 13. Dezember 1974 (Bundesgesetzbl. I S. 3473) wird verordnet:</w:t>
      </w:r>
    </w:p>
    <w:p>
      <w:r>
        <w:rPr>
          <w:color w:val="555555"/>
          <w:sz w:val="17"/>
        </w:rPr>
        <w:t xml:space="preserve">Zitiervorschlag: Eingangsformel EigenVerbV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https://recht.nulegal.eu/gesetze/EigenVerbV/eingangsformel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