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EigenVerbV</w:t>
      </w:r>
    </w:p>
    <w:p>
      <w:r>
        <w:rPr>
          <w:color w:val="555555"/>
          <w:sz w:val="18"/>
        </w:rPr>
        <w:t xml:space="preserve">Eigenverbrauchsverordnung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Elektrizitätserzeugungsanlagen, bei denen die Voraussetzungen der §§ 5 und 6 vorliegen, ist der sich nach den §§ 2 bis 4 ergebende Wert höchstens um 50 vom Hundert herabzusetzen.</w:t>
      </w:r>
    </w:p>
    <w:p>
      <w:r>
        <w:rPr>
          <w:color w:val="555555"/>
          <w:sz w:val="17"/>
        </w:rPr>
        <w:t xml:space="preserve">Zitiervorschlag: § 7 EigenVerbV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https://recht.nulegal.eu/gesetze/EigenVerbV/7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