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EigenVerbV</w:t>
      </w:r>
    </w:p>
    <w:p>
      <w:r>
        <w:rPr>
          <w:color w:val="555555"/>
          <w:sz w:val="18"/>
        </w:rPr>
        <w:t xml:space="preserve">Eigenverbrauchsverordnung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nach § 2 maßgebende Durchschnittserlös ist um einen Abschlag zu vermindern, dessen Höhe sich nach der in Megawatt gemessenen Engpaßleistung der jeweiligen Elektrizitätserzeugungsanlage des Abgabeschuldners richtet.</w:t>
      </w:r>
    </w:p>
    <w:p>
      <w:r>
        <w:t xml:space="preserve">(2) Der Vomhundertsatz des Abschlages ergibt sich aus der Anlage zu dieser Verordnung.</w:t>
      </w:r>
    </w:p>
    <w:p>
      <w:r>
        <w:rPr>
          <w:color w:val="555555"/>
          <w:sz w:val="17"/>
        </w:rPr>
        <w:t xml:space="preserve">Zitiervorschlag: § 3 EigenVerbV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https://recht.nulegal.eu/gesetze/EigenVerbV/3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