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EigenVerbV</w:t>
      </w:r>
    </w:p>
    <w:p>
      <w:r>
        <w:rPr>
          <w:color w:val="555555"/>
          <w:sz w:val="18"/>
        </w:rPr>
        <w:t xml:space="preserve">Eigenverbrauchsverordnung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§ 8 Abs. 2 des Dritten Verstromungsgesetzes abgabepflichtigen Eigenerzeuger von Elektrizität haben den Wert der von ihnen selbst erzeugten und verbrauchten Elektrizität nach dem in den §§ 2 bis 7 festgelegten Verfahren für jeden Kalendermonat zu berechnen.</w:t>
      </w:r>
    </w:p>
    <w:p>
      <w:r>
        <w:t xml:space="preserve">(2) Bei der Berechnung bleiben der Kraftwerkseigenbedarf und der Teil des Betriebsverbrauchs, der zur Aufrechterhaltung der Elektrizitätserzeugung und -verteilung erforderlich ist, außer Betracht.</w:t>
      </w:r>
    </w:p>
    <w:p>
      <w:r>
        <w:rPr>
          <w:color w:val="555555"/>
          <w:sz w:val="17"/>
        </w:rPr>
        <w:t xml:space="preserve">Zitiervorschlag: § 1 EigenVerbV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https://recht.nulegal.eu/gesetze/EigenVerbV/1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