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EigZulG — Einkunftsgrenze</w:t>
      </w:r>
    </w:p>
    <w:p>
      <w:r>
        <w:rPr>
          <w:color w:val="555555"/>
          <w:sz w:val="18"/>
        </w:rPr>
        <w:t xml:space="preserve">Eigenheimzulagengesetz</w:t>
      </w:r>
    </w:p>
    <w:p>
      <w:r>
        <w:rPr>
          <w:color w:val="555555"/>
          <w:sz w:val="18"/>
        </w:rPr>
        <w:t xml:space="preserve">Stand: 10.06.2019 (konsolidierte Textfassung, kein amtliches Inkrafttretensdatum)</w:t>
      </w:r>
    </w:p>
    <w:p>
      <w:r>
        <w:t xml:space="preserve">Der Anspruchsberechtigte kann die Eigenheimzulage ab dem Jahr in Anspruch nehmen (Erstjahr), in dem die Summe der positiven Einkünfte nach § 2 Abs. 2 des Einkommensteuergesetzes des Erstjahrs zuzüglich der Summe der positiven Einkünfte des vorangegangenen Jahrs (Vorjahr) 70.000 Euro nicht übersteigt. Ehegatten, die im Erstjahr die Voraussetzungen des § 26 Abs. 1 des Einkommensteuergesetzes erfüllen, können die Eigenheimzulage ab dem Jahr in Anspruch nehmen, in dem die Summe der positiven Einkünfte der Eheleute nach § 2 Abs. 2 des Einkommensteuergesetzes des Erstjahrs zuzüglich der Summe der positiven Einkünfte der Eheleute des vorangegangenen Jahrs 140.000 Euro nicht übersteigt. Für jedes Kind, für das im Erstjahr die Voraussetzungen für die Inanspruchnahme der Kinderzulage nach § 9 Abs. 5 Satz 1 und 2 vorliegen, erhöhen sich die Beträge nach den Sätzen 1 und 2 um 30.000 Euro, in den Fällen des § 9 Abs. 5 Satz 3 um 15.000 Euro für jeden Anspruchsberechtigten.</w:t>
      </w:r>
    </w:p>
    <w:p>
      <w:r>
        <w:rPr>
          <w:color w:val="555555"/>
          <w:sz w:val="17"/>
        </w:rPr>
        <w:t xml:space="preserve">Zitiervorschlag: § 5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