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EigZulG — Nutzung zu eigenen Wohnzwecken</w:t>
      </w:r>
    </w:p>
    <w:p>
      <w:r>
        <w:rPr>
          <w:color w:val="555555"/>
          <w:sz w:val="18"/>
        </w:rPr>
        <w:t xml:space="preserve">Eigenheimzulagengesetz</w:t>
      </w:r>
    </w:p>
    <w:p>
      <w:r>
        <w:rPr>
          <w:color w:val="555555"/>
          <w:sz w:val="18"/>
        </w:rPr>
        <w:t xml:space="preserve">Stand: 10.06.2019 (konsolidierte Textfassung, kein amtliches Inkrafttretensdatum)</w:t>
      </w:r>
    </w:p>
    <w:p>
      <w:r>
        <w:t xml:space="preserve">Der Anspruch besteht nur für Kalenderjahre, in denen der Anspruchsberechtigte die Wohnung zu eigenen Wohnzwecken nutzt. Eine Nutzung zu eigenen Wohnzwecken liegt auch vor, soweit eine Wohnung unentgeltlich an einen Angehörigen im Sinne des § 15 der Abgabenordnung zu Wohnzwecken überlassen wird.</w:t>
      </w:r>
    </w:p>
    <w:p>
      <w:r>
        <w:rPr>
          <w:color w:val="555555"/>
          <w:sz w:val="17"/>
        </w:rPr>
        <w:t xml:space="preserve">Zitiervorschlag: § 4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