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EigZulG — Förderzeitraum</w:t>
      </w:r>
    </w:p>
    <w:p>
      <w:r>
        <w:rPr>
          <w:color w:val="555555"/>
          <w:sz w:val="18"/>
        </w:rPr>
        <w:t xml:space="preserve">Eigenheimzulagengesetz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Anspruchsberechtigte kann die Eigenheimzulage im Jahr der Fertigstellung oder Anschaffung und in den sieben folgenden Jahren (Förderzeitraum) in Anspruch nehmen.</w:t>
      </w:r>
    </w:p>
    <w:p>
      <w:r>
        <w:rPr>
          <w:color w:val="555555"/>
          <w:sz w:val="17"/>
        </w:rPr>
        <w:t xml:space="preserve">Zitiervorschlag: § 3 EigZulG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https://recht.nulegal.eu/gesetze/EigZulG/3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