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EigZulG — Begünstigtes Objekt</w:t>
      </w:r>
    </w:p>
    <w:p>
      <w:r>
        <w:rPr>
          <w:color w:val="555555"/>
          <w:sz w:val="18"/>
        </w:rPr>
        <w:t xml:space="preserve">Eigenheimzulagengesetz</w:t>
      </w:r>
    </w:p>
    <w:p>
      <w:r>
        <w:rPr>
          <w:color w:val="555555"/>
          <w:sz w:val="18"/>
        </w:rPr>
        <w:t xml:space="preserve">Stand: 10.06.2019 (konsolidierte Textfassung, kein amtliches Inkrafttretensdatum)</w:t>
      </w:r>
    </w:p>
    <w:p>
      <w:r>
        <w:t xml:space="preserve">Begünstigt ist die Herstellung oder Anschaffung einer Wohnung in einem im Inland belegenen eigenen Haus oder einer im Inland belegenen eigenen Eigentumswohnung. Nicht begünstigt ist eine Ferien- oder Wochenendwohnung oder eine Wohnung, für die Absetzungen für Abnutzung als Betriebsausgaben oder Werbungskosten im Rahmen der doppelten Haushaltsführung abgezogen werden oder § 52 Abs. 15 Satz 2 oder 3 oder Abs. 21 Satz 2 des Einkommensteuergesetzes gilt. Nicht begünstigt sind auch eine Wohnung oder ein Anteil daran, die der Anspruchsberechtigte von seinem Ehegatten anschafft, wenn bei den Ehegatten im Zeitpunkt der Anschaffung die Voraussetzungen des § 26 Abs. 1 des Einkommensteuergesetzes vorliegen.</w:t>
      </w:r>
    </w:p>
    <w:p>
      <w:r>
        <w:rPr>
          <w:color w:val="555555"/>
          <w:sz w:val="17"/>
        </w:rPr>
        <w:t xml:space="preserve">Zitiervorschlag: § 2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