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EigZulG — Antrag auf Eigenheimzulage</w:t>
      </w:r>
    </w:p>
    <w:p>
      <w:r>
        <w:rPr>
          <w:color w:val="555555"/>
          <w:sz w:val="18"/>
        </w:rPr>
        <w:t xml:space="preserve">Eigenheimzulagengesetz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Eigenheimzulage ist nach amtlichem Vordruck zu stellen und eigenhändig zu unterschreiben.</w:t>
      </w:r>
    </w:p>
    <w:p>
      <w:r>
        <w:t xml:space="preserve">(2) Der Anspruchsberechtigte ist verpflichtet, dem zuständigen Finanzamt unverzüglich eine Änderung der Verhältnisse mitzuteilen, die zu einer Minderung oder dem Wegfall der Eigenheimzulage führen.</w:t>
      </w:r>
    </w:p>
    <w:p>
      <w:r>
        <w:rPr>
          <w:color w:val="555555"/>
          <w:sz w:val="17"/>
        </w:rPr>
        <w:t xml:space="preserve">Zitiervorschlag: § 12 EigZulG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https://recht.nulegal.eu/gesetze/EigZulG/12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