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EigZulG — Entstehung des Anspruchs auf Eigenheimzulage</w:t>
      </w:r>
    </w:p>
    <w:p>
      <w:r>
        <w:rPr>
          <w:color w:val="555555"/>
          <w:sz w:val="18"/>
        </w:rPr>
        <w:t xml:space="preserve">Eigenheimzulagengesetz</w:t>
      </w:r>
    </w:p>
    <w:p>
      <w:r>
        <w:rPr>
          <w:color w:val="555555"/>
          <w:sz w:val="18"/>
        </w:rPr>
        <w:t xml:space="preserve">Stand: 10.06.2019 (konsolidierte Textfassung, kein amtliches Inkrafttretensdatum)</w:t>
      </w:r>
    </w:p>
    <w:p>
      <w:r>
        <w:t xml:space="preserve">Der Anspruch auf Eigenheimzulage entsteht mit Beginn der Nutzung der hergestellten oder angeschafften Wohnung zu eigenen Wohnzwecken, für jedes weitere Jahr des Förderzeitraums mit Beginn des Kalenderjahres, für das eine Eigenheimzulage festzusetzen ist.</w:t>
      </w:r>
    </w:p>
    <w:p>
      <w:r>
        <w:rPr>
          <w:color w:val="555555"/>
          <w:sz w:val="17"/>
        </w:rPr>
        <w:t xml:space="preserve">Zitiervorschlag: § 10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