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Eig-WO (Nordrhein-Westfalen) — Wahlergebnis</w:t>
      </w:r>
    </w:p>
    <w:p>
      <w:r>
        <w:rPr>
          <w:color w:val="555555"/>
          <w:sz w:val="18"/>
        </w:rPr>
        <w:t xml:space="preserve">Wahlordnung für Eigenbetriebe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Gewählt sind in der Reihenfolge der höchsten Stimmenzahlen alle Bewerberinnen und Bewerber, deren Berücksichtigung erforderlich ist, um die für den Vorschlag nach § 114 Abs. 3 Satz 4 der Gemeindeordnung gebotene Anzahl der Beschäftigten zu erreichen. Bei Stimmengleichheit entscheidet das Los. § 19 WO-LPVG gilt sinngemäß.</w:t>
      </w:r>
    </w:p>
    <w:p>
      <w:r>
        <w:rPr>
          <w:color w:val="555555"/>
          <w:sz w:val="17"/>
        </w:rPr>
        <w:t xml:space="preserve">Zitiervorschlag: § 9 Eig-WO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https://recht.nulegal.eu/gesetze/Eig-WO/9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