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Eig-WO (Nordrhein-Westfalen) — Wahlvorschläge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Wahlberechtigten sowie die im Betrieb vertretenen Gewerkschaften und Berufsverbände (16 Abs. 4 LPVG) können Wahlvorschläge machen.</w:t>
      </w:r>
    </w:p>
    <w:p>
      <w:r>
        <w:t xml:space="preserve">(2) Die Wahlvorschläge sind innerhalb von drei Wochen nach dem Erlass des Wahlausschreibens einzureichen. Den Wahlvorschlägen sind die schriftlichen Zustimmungen der Bewerberinnen und Bewerber zur Aufnahme in den Wahlvorschlag beizufügen.</w:t>
      </w:r>
    </w:p>
    <w:p>
      <w:r>
        <w:t xml:space="preserve">(3) Die Vorschriften der §§ 10 bis 13 WO-LPVG gelten sinngemäß.</w:t>
      </w:r>
    </w:p>
    <w:p>
      <w:r>
        <w:rPr>
          <w:color w:val="555555"/>
          <w:sz w:val="17"/>
        </w:rPr>
        <w:t xml:space="preserve">Zitiervorschlag: § 6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