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Eig-WO (Nordrhein-Westfalen) — Wahlvorstand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Personalrat bestellt spätestens zehn Wochen vor dem maßgeblichen Zeitpunkt drei Wahlberechtigte als Wahlvorstand und eine oder einen von ihnen als Vorsitzende bzw. als Vorsitzenden.</w:t>
      </w:r>
    </w:p>
    <w:p>
      <w:r>
        <w:t xml:space="preserve">(2) Ist kein Personalrat vorhanden oder kommt der Personalrat seiner Verpflichtung zur Bestellung des Wahlvorstandes nicht fristgerecht nach, so bestellt die Bürgermeisterin bzw. der Bürgermeister den Wahlvorstand.</w:t>
      </w:r>
    </w:p>
    <w:p>
      <w:r>
        <w:t xml:space="preserve">(3) § 1 Abs. 4 gilt entsprechend.</w:t>
      </w:r>
    </w:p>
    <w:p>
      <w:r>
        <w:t xml:space="preserve">(4) Für die Vorbereitung und Durchführung der Wahl gelten die Vorschriften der §§ 1 bis 3 der Wahlordnung zum Landespersonalvertretungsgesetz (WO-LPVG).</w:t>
      </w:r>
    </w:p>
    <w:p>
      <w:r>
        <w:rPr>
          <w:color w:val="555555"/>
          <w:sz w:val="17"/>
        </w:rPr>
        <w:t xml:space="preserve">Zitiervorschlag: § 2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