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Eig-WO (Nordrhein-Westfalen) — Anfechtung der Wahl</w:t>
      </w:r>
    </w:p>
    <w:p>
      <w:r>
        <w:rPr>
          <w:color w:val="555555"/>
          <w:sz w:val="18"/>
        </w:rPr>
        <w:t xml:space="preserve">Wahlordnung für Eigenbetriebe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Anfechtung der Wahl gilt § 22 LPVG mit Ausnahme des Absatzes 2 Satz 4 entsprechend.</w:t>
      </w:r>
    </w:p>
    <w:p>
      <w:r>
        <w:rPr>
          <w:color w:val="555555"/>
          <w:sz w:val="17"/>
        </w:rPr>
        <w:t xml:space="preserve">Zitiervorschlag: § 12 Eig-WO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https://recht.nulegal.eu/gesetze/Eig-WO/12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