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Eig-WO (Nordrhein-Westfalen) — Mitteilung des Ergebnisses</w:t>
      </w:r>
    </w:p>
    <w:p>
      <w:r>
        <w:rPr>
          <w:color w:val="555555"/>
          <w:sz w:val="18"/>
        </w:rPr>
        <w:t xml:space="preserve">Wahlordnung für Eigenbetriebe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Wahlvorstand teilt dem Rat und der Bürgermeisterin bzw. dem Bürgermeister unverzüglich, spätestens aber drei Tage nach der Wahl den Vorschlag nach § 114 Abs. 3 Satz 4 der Gemeindeordnung schriftlich mit. In dem Vorschlag sind die vorgeschlagenen Personen nach Stimmenzahlen zu ordnen. Die Stimmenzahlen sind hinter den Namen anzugeben.</w:t>
      </w:r>
    </w:p>
    <w:p>
      <w:r>
        <w:rPr>
          <w:color w:val="555555"/>
          <w:sz w:val="17"/>
        </w:rPr>
        <w:t xml:space="preserve">Zitiervorschlag: § 11 Eig-WO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https://recht.nulegal.eu/gesetze/Eig-WO/11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