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Eig-WO (Nordrhein-Westfalen) — Wahlniederschrift</w:t>
      </w:r>
    </w:p>
    <w:p>
      <w:r>
        <w:rPr>
          <w:color w:val="555555"/>
          <w:sz w:val="18"/>
        </w:rPr>
        <w:t xml:space="preserve">Wahlordnung für Eigenbetriebe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Nach Ermittlung der vorgeschlagenen Bewerberinnen und Bewerber fertigt der Wahlvorstand eine Niederschrift, die von sämtlichen Mitgliedern des Wahlvorstandes zu unterzeichnen ist. Die Niederschrift muss enthalten:</w:t>
      </w:r>
    </w:p>
    <w:p>
      <w:r>
        <w:t xml:space="preserve">1. die Gesamtzahl der abgegebenen Stimmen;</w:t>
      </w:r>
    </w:p>
    <w:p>
      <w:r>
        <w:t xml:space="preserve">2. die Zahl der gültigen Stimmen;</w:t>
      </w:r>
    </w:p>
    <w:p>
      <w:r>
        <w:t xml:space="preserve">3. die jeder Bewerberin und jedem Bewerber zugefallene Stimmenzahl;</w:t>
      </w:r>
    </w:p>
    <w:p>
      <w:r>
        <w:t xml:space="preserve">4. die Zahl der ungültigen Stimmen;</w:t>
      </w:r>
    </w:p>
    <w:p>
      <w:r>
        <w:t xml:space="preserve">5. die Namen der für den Vorschlag nach § 114 Abs. 3 Satz 4 der Gemeindeordnung gewählten Bewerberinnen und Bewerber.</w:t>
      </w:r>
    </w:p>
    <w:p>
      <w:r>
        <w:t xml:space="preserve">(2) Besondere Vorkommnisse bei der Wahlhandlung oder der Feststellung des Wahlergebnisses sind in der Niederschrift zu vermerken.</w:t>
      </w:r>
    </w:p>
    <w:p>
      <w:r>
        <w:t xml:space="preserve">(3) Die Wahlakten sind mindestens für die Dauer der Wahlzeit der Gewählten durch den Personalrat aufzubewahren. § 20 WO-LPVG gilt sinngemäß.</w:t>
      </w:r>
    </w:p>
    <w:p>
      <w:r>
        <w:rPr>
          <w:color w:val="555555"/>
          <w:sz w:val="17"/>
        </w:rPr>
        <w:t xml:space="preserve">Zitiervorschlag: § 10 Eig-WO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https://recht.nulegal.eu/gesetze/Eig-WO/10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