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Eifel-RurVG - (Nordrhein-Westfalen) — Anordnung und Aufhebung von Maßnahmen</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Erfüllt der Verband die ihm nach Gesetz oder Satzung obliegenden Aufgaben oder Pflichten nicht, nicht rechtzeitig oder nicht im erforderlichen Umfang, kann die Aufsichtsbehörde anordnen, daß er innerhalb einer bestimmten Frist das Notwendige veranlaßt. Die Aufsichtsbehörde hat die geforderte Handlung im einzelnen zu bezeichnen. Sie kann ihre Anordnung, wenn sie nicht befolgt worden ist, anstelle und auf Kosten des Verbandes selbst durchführen oder von einem anderen durchführen lassen. Die aufsichtsbehördliche Fristsetzung und Anordnung ersetzt die erforderlichen Entscheidungen der Verbandsorgane.</w:t>
      </w:r>
    </w:p>
    <w:p>
      <w:r>
        <w:t xml:space="preserve">(2) Kommt der Verband einer rechtlichen Verpflichtung nicht nach und unterläßt oder verweigert er es, die dafür erforderlichen Mittel in den Wirtschaftsplan aufzunehmen oder außerplanmäßig zu genehmigen, kann die Aufsichtsbehörde unter Anführung der Gründe die Aufnahme der erforderlichen Mittel in den Wirtschaftsplan verfügen oder die außerplanmäßigen Ausgaben feststellen und die Einziehung der erforderlichen Beiträge anordnen.</w:t>
      </w:r>
    </w:p>
    <w:p>
      <w:r>
        <w:t xml:space="preserve">(3) Der Vorstand hat Beschlüsse der Verbandsversammlung und des Verbandsrates, die gegen Gesetz oder Satzung verstoßen, schriftlich unter Darlegung der Gründe zu beanstanden. Die Beanstandung hat aufschiebende Wirkung. Heben die Verbandsversammlung oder der Verbandsrat beanstandete Beschlüsse nicht auf, entscheidet die Aufsichtsbehörde über die Rechtmäßigkeit der Beanstandung. Die aufschiebende Wirkung bleibt bestehen.</w:t>
      </w:r>
    </w:p>
    <w:p>
      <w:r>
        <w:t xml:space="preserve">(4) Die Aufsichtsbehörde ist berechtigt, Beschlüsse und Anordnungen des Verbandes, die das Gesetz oder die Satzung verletzen oder den Aufgaben und Pflichten des Verbandes zuwiderlaufen, innerhalb von sechs Monaten aufzuheben und zu verlangen, daß Maßnahmen, die auf Grund solcher Beschlüsse oder Anordnungen getroffen sind, rückgängig gemacht werden.</w:t>
      </w:r>
    </w:p>
    <w:p>
      <w:r>
        <w:rPr>
          <w:color w:val="555555"/>
          <w:sz w:val="17"/>
        </w:rPr>
        <w:t xml:space="preserve">Zitiervorschlag: § 36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