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Eifel-RurVG - (Nordrhein-Westfalen) — Bekanntmachungen</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 4 bleibt unberührt.</w:t>
      </w:r>
    </w:p>
    <w:p>
      <w:r>
        <w:t xml:space="preserve">Neunter Teil</w:t>
      </w:r>
    </w:p>
    <w:p>
      <w:r>
        <w:t xml:space="preserve">Rechtsaufsicht</w:t>
      </w:r>
    </w:p>
    <w:p>
      <w:r>
        <w:rPr>
          <w:color w:val="555555"/>
          <w:sz w:val="17"/>
        </w:rPr>
        <w:t xml:space="preserve">Zitiervorschlag: § 33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