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Eifel-RurVG - (Nordrhein-Westfalen) — Aufgaben des Widerspruchsausschusses</w:t>
      </w:r>
    </w:p>
    <w:p>
      <w:r>
        <w:rPr>
          <w:color w:val="555555"/>
          <w:sz w:val="18"/>
        </w:rPr>
        <w:t xml:space="preserve">Eifel-Rur-Verbandsgesetz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Widerspruchsausschuß entscheidet über Widersprüche nach § 7 Abs. 5, § 8 Abs. 2, § 27 Abs. 3, § 28 Abs. 3 und § 32 Abs. 2, soweit der Vorstand ihnen nicht abgeholfen hat. Er entscheidet ferner über Anträge nach § 80 der Verwaltungsgerichtsordnung, denen der Vorstand nicht stattgegeben hat.</w:t>
      </w:r>
    </w:p>
    <w:p>
      <w:r>
        <w:rPr>
          <w:color w:val="555555"/>
          <w:sz w:val="17"/>
        </w:rPr>
        <w:t xml:space="preserve">Zitiervorschlag: § 30 Eifel-RurVG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https://recht.nulegal.eu/gesetze/Eifel-RurVG%20-/30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