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Eifel-RurVG - (Nordrhein-Westfalen) — Rücklagen, Rechnungs- und Prüfungswesen, Wirtschaftsführung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soll zur Sicherung der Wirtschaftsführung und, soweit erforderlich, für Zwecke des Vermögensplans sowie zur Deckung nicht einziehbarer Beiträge (§ 27 Abs. 5 Satz 2) Rücklagen in angemessener Höhe bilden.</w:t>
      </w:r>
    </w:p>
    <w:p>
      <w:r>
        <w:t xml:space="preserve">(2) Das Nähere zur Wirtschaftsführung und zum Rechnungswesen und das Verfahren für die Rechnungsprüfung sind in der Satzung zu regeln.</w:t>
      </w:r>
    </w:p>
    <w:p>
      <w:r>
        <w:rPr>
          <w:color w:val="555555"/>
          <w:sz w:val="17"/>
        </w:rPr>
        <w:t xml:space="preserve">Zitiervorschlag: § 24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