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Eifel-RurVG - (Nordrhein-Westfalen) — Wirtschaftsplan, Finanzplanung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wirtschaftet nach den Grundsätzen des kaufmännischen Rechnungswesens. Für die Buchführung des Verbandes, die Kostenrechnung und den Jahresabschluss sind § 19 Absatz 1 Satz 1, 2 erste Alternative, Absatz 2 und 3, §§ 21, 22 Absatz 1, §§ 23 und 24 der Eigenbetriebsverordnung für das Land Nordrhein-Westfalen entsprechend anzuwenden.</w:t>
      </w:r>
    </w:p>
    <w:p>
      <w:r>
        <w:t xml:space="preserve">(2) Die Verbandsversammlung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Verbandsversammlung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Verbandsversammlung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22a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