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EichZustVO (Nordrhein-Westfalen) — Örtliche Überwachungsbehörden</w:t>
      </w:r>
    </w:p>
    <w:p>
      <w:r>
        <w:rPr>
          <w:color w:val="555555"/>
          <w:sz w:val="18"/>
        </w:rPr>
        <w:t xml:space="preserve">Eichzuständigkeitsverordnung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Neben dem Landesbetrieb Mess- und Eichwesen Nordrhein-Westfalen sind die örtlichen Ordnungsbehörden zuständig</w:t>
      </w:r>
    </w:p>
    <w:p>
      <w:r>
        <w:t xml:space="preserve">1. für die Verwendungsüberwachung nach § 54 Absatz 1 des Mess- und Eichgesetzes</w:t>
      </w:r>
    </w:p>
    <w:p>
      <w:r>
        <w:t xml:space="preserve">a) bei der Abgabe von Waren an Letztverbraucher,</w:t>
      </w:r>
    </w:p>
    <w:p>
      <w:r>
        <w:t xml:space="preserve">aa) ob gemäß § 31 Absatz 2 Nummer 3 des Mess- und Eichgesetzes</w:t>
      </w:r>
    </w:p>
    <w:p>
      <w:r>
        <w:t xml:space="preserve">Messgeräte nicht ungeeicht verwendet werden,</w:t>
      </w:r>
    </w:p>
    <w:p>
      <w:r>
        <w:t xml:space="preserve">bb) ob Messgeräte im Direktverkauf im Sinne des Mess- und Eichgesetzes so</w:t>
      </w:r>
    </w:p>
    <w:p>
      <w:r>
        <w:t xml:space="preserve">aufgestellt und benutzt werden, dass der Käufer den Messvorgang</w:t>
      </w:r>
    </w:p>
    <w:p>
      <w:r>
        <w:t xml:space="preserve">beobachten kann (§ 23 Absatz 3 der Mess- und Eichverordnung vom 11.</w:t>
      </w:r>
    </w:p>
    <w:p>
      <w:r>
        <w:t xml:space="preserve">Dezember 2014 (BGBl. I S. 2010, 2011)) und bei der Wägung von losen</w:t>
      </w:r>
    </w:p>
    <w:p>
      <w:r>
        <w:t xml:space="preserve">Erzeugnissen Nettowerte angegeben werden (§ 26 Absatz 1 Satz 1 der</w:t>
      </w:r>
    </w:p>
    <w:p>
      <w:r>
        <w:t xml:space="preserve">Mess- und Eichverordnung),</w:t>
      </w:r>
    </w:p>
    <w:p>
      <w:r>
        <w:t xml:space="preserve">b) in Gaststättenbetrieben oder auf öffentlichen Veranstaltungen, ob die Vorschriften der Mess- und Eichverordnung über Ausschankmaße beachtet werden,</w:t>
      </w:r>
    </w:p>
    <w:p>
      <w:r>
        <w:t xml:space="preserve">c) ob Nachweise über erfolgte Wartungen, Reparaturen oder sonstige Eingriffe am Messgerät, einschließlich solcher durch elektronisch vorgenommene Maßnahmen, gemäß § 31 Absatz 2 Nummer 4 aufbewahrt werden.</w:t>
      </w:r>
    </w:p>
    <w:p>
      <w:r>
        <w:t xml:space="preserve">2. für das Verlangen nach Auskunft nach § 9 Satz 1 des Einheiten- und Zeitgesetzes</w:t>
      </w:r>
    </w:p>
    <w:p>
      <w:r>
        <w:t xml:space="preserve">a) bei der Abgabe von Waren an Letztverbraucher und</w:t>
      </w:r>
    </w:p>
    <w:p>
      <w:r>
        <w:t xml:space="preserve">b) bei der Verwendung von Ausschankmaßen in Gaststättenbetrieben oder auf öffentlichen Veranstaltungen.</w:t>
      </w:r>
    </w:p>
    <w:p>
      <w:r>
        <w:rPr>
          <w:color w:val="555555"/>
          <w:sz w:val="17"/>
        </w:rPr>
        <w:t xml:space="preserve">Zitiervorschlag: § 2 EichZustVO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https://recht.nulegal.eu/gesetze/EichZustVO/2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