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EhrenamtStiftG — Satzung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Die Stiftung gibt sich eine Satzung, die vom Stiftungsrat mit einer Mehrheit von zwei Dritteln der Stimmen beschlossen wird.</w:t>
      </w:r>
    </w:p>
    <w:p>
      <w:r>
        <w:t xml:space="preserve">(2) Der Stiftungsrat kann Satzungsbestimmungen, die nicht Gegenstand dieses Gesetzes sind, mit einer Mehrheit von zwei Dritteln der Stimmen ändern.</w:t>
      </w:r>
    </w:p>
    <w:p>
      <w:r>
        <w:rPr>
          <w:color w:val="555555"/>
          <w:sz w:val="17"/>
        </w:rPr>
        <w:t xml:space="preserve">Zitiervorschlag: § 8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