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EhrZAnerkErl 3</w:t>
      </w:r>
    </w:p>
    <w:p>
      <w:r>
        <w:rPr>
          <w:color w:val="555555"/>
          <w:sz w:val="18"/>
        </w:rPr>
        <w:t xml:space="preserve">Dritter Erlaß über die Anerkennung als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Verleihungsbedingungen sowie die Abbildungen und Beschreibungen der nach Artikel 1 anerkannten Ehrenzeichen werden vom Bundesminister des Innern im Bundesanzeiger veröffentlicht.</w:t>
      </w:r>
    </w:p>
    <w:p>
      <w:r>
        <w:rPr>
          <w:color w:val="555555"/>
          <w:sz w:val="17"/>
        </w:rPr>
        <w:t xml:space="preserve">Zitiervorschlag: Art 2 EhrZAnerkErl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https://recht.nulegal.eu/gesetze/EhrZAnerkErl%203/2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