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EhfG — Tagegeld bei Arbeitsunfähigkeit</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Ist der Entwicklungshelfer arbeitsunfähig, so gewährt ihm der Bund im Anschluß an die Leistungen nach § 8 Abs. 1 ein Tagegeld in Höhe des Übergangsgeldes aus der gesetzlichen Unfallversicherung,</w:t>
      </w:r>
    </w:p>
    <w:p>
      <w:pPr>
        <w:ind w:left="420"/>
      </w:pPr>
      <w:r>
        <w:t xml:space="preserve">1. wenn die Arbeitsunfähigkeit nicht Folge eines Arbeitsunfalls oder einer Gesundheitsstörung im Sinne des § 10 Abs. 1 ist,</w:t>
      </w:r>
    </w:p>
    <w:p>
      <w:pPr>
        <w:ind w:left="420"/>
      </w:pPr>
      <w:r>
        <w:t xml:space="preserve">2. wenn der Entwicklungshelfer die Arbeitsunfähigkeit nicht vorsätzlich herbeigeführt hat und</w:t>
      </w:r>
    </w:p>
    <w:p>
      <w:pPr>
        <w:ind w:left="420"/>
      </w:pPr>
      <w:r>
        <w:t xml:space="preserve">3. soweit kein Anspruch auf Krankengeld aus der gesetzlichen Krankenversicherung besteht.</w:t>
      </w:r>
    </w:p>
    <w:p>
      <w:r>
        <w:t xml:space="preserve">Wird das Dienstverhältnis des Entwicklungshelfers während der Arbeitsunfähigkeit aufgelöst, so bleibt der Anspruch auf Tagegeld hiervon unberührt.</w:t>
      </w:r>
    </w:p>
    <w:p>
      <w:r>
        <w:t xml:space="preserve">(2) Tagegeld wird wegen derselben Krankheit oder desselben Unfalles längstens für achtundsiebzig Wochen gewährt, gerechnet vom Tag des Beginns der Arbeitsunfähigkeit an.</w:t>
      </w:r>
    </w:p>
    <w:p>
      <w:r>
        <w:t xml:space="preserve">(3) Der Anspruch auf Tagegeld endet mit dem Tag, von dem an</w:t>
      </w:r>
    </w:p>
    <w:p>
      <w:pPr>
        <w:ind w:left="420"/>
      </w:pPr>
      <w:r>
        <w:t xml:space="preserve">1. Rente wegen voller Erwerbsminderung, Erwerbsunfähigkeit oder Altersrente aus der gesetzlichen Rentenversicherung oder</w:t>
      </w:r>
    </w:p>
    <w:p>
      <w:pPr>
        <w:ind w:left="420"/>
      </w:pPr>
      <w:r>
        <w:t xml:space="preserve">2. eine entsprechende Leistung aus einer nach Artikel 2 § 1 des Angestelltenversicherungs-Neuregelungsgesetzes in der Fassung des Finanzänderungsgesetzes 1967 vom 21. Dezember 1967 (BGBl. I S. 1259) von der Versicherungspflicht befreienden Lebensversicherung, an der sich der Arbeitgeber mit Beitragszuschüssen beteiligt hat, oder</w:t>
      </w:r>
    </w:p>
    <w:p>
      <w:pPr>
        <w:ind w:left="420"/>
      </w:pPr>
      <w:r>
        <w:t xml:space="preserve">3. eine entsprechende Leistung aus einer Versicherungs- oder Versorgungseinrichtung im Sinne der Vorschrift über die Versicherungsbefreiung in der gesetzlichen Rentenversicherung zugebilligt wird.</w:t>
      </w:r>
    </w:p>
    <w:p>
      <w:r>
        <w:t xml:space="preserve">Ist über diesen Zeitraum hinaus Tagegeld gezahlt worden, so geht der Anspruch auf die in Satz 1 bezeichneten Leistungen bis zur Höhe des für denselben Zeitraum gezahlten Tagegeldes auf den Bund über. Übersteigt das Tagegeld die genannten Leistungen, so kann der überschießende Betrag nicht zurückgefordert werden.</w:t>
      </w:r>
    </w:p>
    <w:p>
      <w:r>
        <w:t xml:space="preserve">(4) Wird dem Anspruchsberechtigten während des Tagegeldbezugs Rente wegen teilweiser Erwerbsminderung oder Berufsunfähigkeit aus der gesetzlichen Rentenversicherung zugebilligt, so wird das Tagegeld um den Betrag der für denselben Zeitraum gewährten Rente gekürzt. Insoweit geht bei rückwirkender Gewährung der Rente aus der gesetzlichen Rentenversicherung der Rentenanspruch auf den Bund über. Entsprechendes gilt für Leistungen nach Absatz 3 Satz 1 Nummer 2 und 3, wenn sie wegen teilweiser Erwerbsminderung oder Berufsunfähigkeit gewährt werden.</w:t>
      </w:r>
    </w:p>
    <w:p>
      <w:r>
        <w:t xml:space="preserve">(5) Der Anspruch auf Tagegeld entfällt, solange von einem Träger der Rentenversicherung Übergangsgeld gewährt wird. Absatz 3 Satz 2 und 3 gilt entsprechend.</w:t>
      </w:r>
    </w:p>
    <w:p>
      <w:r>
        <w:t xml:space="preserve">(6) Werden dem Anspruchsberechtigten während des Tagegeldbezugs Dienst- oder Versorgungsbezüge nach beamtenrechtlichen Vorschriften oder Grundsätzen oder entsprechenden kirchenrechtlichen Regelungen oder eine Versorgungsrente von einer Zusatzversorgungseinrichtung des öffentlichen Dienstes oder als Arbeitnehmer im öffentlichen Dienst oder im kirchlichen Dienst Krankenbezüge zugebilligt, so gilt Absatz 3 entsprechend, wenn die Bezüge nicht geringer als das Tagegeld sind; andernfalls gilt Absatz 4 entsprechend.</w:t>
      </w:r>
    </w:p>
    <w:p>
      <w:r>
        <w:rPr>
          <w:color w:val="555555"/>
          <w:sz w:val="17"/>
        </w:rPr>
        <w:t xml:space="preserve">Zitiervorschlag: § 9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