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23c EhfG — Übergangsvorschrift zu § 10</w:t>
      </w:r>
    </w:p>
    <w:p>
      <w:r>
        <w:rPr>
          <w:color w:val="555555"/>
          <w:sz w:val="18"/>
        </w:rPr>
        <w:t xml:space="preserve">Entwicklungshelfer-Gesetz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Bestand am 31. Dezember 1991 Anspruch auf Leistungen nach § 10 Abs. 1 und 2, ist § 312 des Sechsten Buches Sozialgesetzbuch auch dann entsprechend anzuwenden, wenn die Gesundheitsstörung oder der Tod nach dem 31. Dezember 1978 eingetreten ist.</w:t>
      </w:r>
    </w:p>
    <w:p>
      <w:r>
        <w:rPr>
          <w:color w:val="555555"/>
          <w:sz w:val="17"/>
        </w:rPr>
        <w:t xml:space="preserve">Zitiervorschlag: § 23c EhfG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https://recht.nulegal.eu/gesetze/EhfG/23c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