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EhfG — Rechtsweg</w:t>
      </w:r>
    </w:p>
    <w:p>
      <w:r>
        <w:rPr>
          <w:color w:val="555555"/>
          <w:sz w:val="18"/>
        </w:rPr>
        <w:t xml:space="preserve">Entwicklungshelfer-Gesetz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bürgerliche Rechtsstreitigkeiten zwischen dem Träger und den Entwicklungshelfer sind die Gerichte für Arbeitssachen zuständig.</w:t>
      </w:r>
    </w:p>
    <w:p>
      <w:r>
        <w:t xml:space="preserve">(2) Für öffentlich-rechtliche Streitigkeiten in den Fällen des § 7 Abs. 3, der §§ 9, 10, 15 dieses Gesetzes ist der Rechtsweg zu den Gerichten der Sozialgerichtsbarkeit gegeben.</w:t>
      </w:r>
    </w:p>
    <w:p>
      <w:r>
        <w:rPr>
          <w:color w:val="555555"/>
          <w:sz w:val="17"/>
        </w:rPr>
        <w:t xml:space="preserve">Zitiervorschlag: § 19 EhfG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