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EhfG — Entgeltersatzleistungen bei Arbeitslosigkeit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einen Anspruch auf Leistungen nach dem Dritten Buch Sozialgesetzbuch stehen Zeiten des Entwicklungsdienstes einschließlich des Vorbereitungsdienstes den Zeiten eines Versicherungspflichtverhältnisses nach dem Recht der Arbeitsförderung gleich.</w:t>
      </w:r>
    </w:p>
    <w:p>
      <w:r>
        <w:t xml:space="preserve">(2) Bei der Feststellung des für die Bemessung der Leistung maßgebenden Arbeitsentgelts ist für die Zeit eines nach Absatz 1 zu berücksichtigenden Dienstes das Arbeitsentgelt nach § 152 des Dritten Buches Sozialgesetzbuch zugrunde zu legen.</w:t>
      </w:r>
    </w:p>
    <w:p>
      <w:r>
        <w:t xml:space="preserve">(3) Mehraufwendungen, die der Bundesagentur für Arbeit durch die Regelung des Absatzes 1 entstehen, erstattet der Bund. Verwaltungskosten werden nicht erstattet.</w:t>
      </w:r>
    </w:p>
    <w:p>
      <w:r>
        <w:rPr>
          <w:color w:val="555555"/>
          <w:sz w:val="17"/>
        </w:rPr>
        <w:t xml:space="preserve">Zitiervorschlag: § 13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