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EhSchV (Brandenburg) — Beteiligung der Interessenvertretungen der Menschen mit Behinderungen</w:t>
      </w:r>
    </w:p>
    <w:p>
      <w:r>
        <w:rPr>
          <w:color w:val="555555"/>
          <w:sz w:val="18"/>
        </w:rPr>
        <w:t xml:space="preserve">Eingliederungshilfe-Schiedsstellenverordnung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Interessenvertretungen der Menschen mit Behinderungen sind an den Verfahren der Schiedsstelle zu beteiligen. Sie können an den Sitzungen der Schiedsstelle beratend teilnehmen.</w:t>
      </w:r>
    </w:p>
    <w:p>
      <w:r>
        <w:t xml:space="preserve">(2) Der Landesbehindertenbeirat Brandenburg als maßgebliche Interessenvertretung der Menschen mit Behinderungen im Sinne des § 133 Absatz 5 Nummer 10 des Neunten Buches Sozialgesetzbuch bestimmt für die Amtsperiode der Schiedsstelle zwei Vertretungen sowie zwei Stellvertretungen zur Interessensvertretung und benennt diese gegenüber der Geschäftsstelle.</w:t>
      </w:r>
    </w:p>
    <w:p>
      <w:r>
        <w:t xml:space="preserve">(3) § 5 Absatz 2 gilt entsprechend.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 EhSchV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https://recht.nulegal.eu/gesetze/EhSchV/6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