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EhSchV (Brandenburg) — Amtsdauer</w:t>
      </w:r>
    </w:p>
    <w:p>
      <w:r>
        <w:rPr>
          <w:color w:val="555555"/>
          <w:sz w:val="18"/>
        </w:rPr>
        <w:t xml:space="preserve">Eingliederungshilfe-Schiedsstellenverordnung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Amtsdauer der Schiedsstellenmitglieder beträgt vier Jahre (Amtsperiode). Die erste Amtsperiode beginnt am 1. Januar 2020.</w:t>
      </w:r>
    </w:p>
    <w:p>
      <w:r>
        <w:t xml:space="preserve">(2) Das Amt der Schiedsstellenmitglieder endet mit dem Ablauf der Amtsperiode. Sie führen die Geschäfte bis zu einer Neubestellung weiter.</w:t>
      </w:r>
    </w:p>
    <w:p>
      <w:r>
        <w:t xml:space="preserve">(3) Scheidet ein Mitglied vor Ablauf der für ihn maßgebenden Amtsdauer aus, so wird das nachfolgende Mitglied für den Rest der Amtsperiode bestellt. Das Gleiche gilt bei Ausscheiden eines stellvertretenden Mitgliedes.</w:t>
      </w:r>
    </w:p>
    <w:p>
      <w:r>
        <w:t xml:space="preserve">(4) Eine erneute Bestellung ist möglich.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EhSchV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https://recht.nulegal.eu/gesetze/EhSchV/3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