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EhSchV (Brandenburg) — Verarbeitung personenbezogener Daten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Geschäftsstelle darf personenbezogene Daten verarbeiten, soweit dies zur Erfüllung der in dieser Verordnung zugewiesenen Aufgaben erforderlich ist.</w:t>
      </w:r>
    </w:p>
    <w:p>
      <w:r>
        <w:t xml:space="preserve">(2) Die personenbezogenen Daten sind zehn Jahre nach Ende des Schiedsverfahrens aufzubewahren. Danach sind sie zu vernichten und bei elektronischer Speicherung zu löschen.</w:t>
      </w:r>
    </w:p>
    <w:p>
      <w:r>
        <w:rPr>
          <w:color w:val="555555"/>
          <w:sz w:val="17"/>
        </w:rPr>
        <w:t xml:space="preserve">Zitiervorschlag: § 17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