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EglZuVO (Sachsen)</w:t>
      </w:r>
    </w:p>
    <w:p>
      <w:r>
        <w:rPr>
          <w:color w:val="555555"/>
          <w:sz w:val="18"/>
        </w:rPr>
        <w:t xml:space="preserve">Eingliederungs-Zuständigkeitsverordnung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3 Abs. 4 und § 9 Abs. 2 des Sächsischen Gesetzes über die Eingliederung von Aussiedlern und zur Durchführung des Bundesvertriebenengesetzes sowie anderer Kriegsfolgengesetze (Sächsisches Aussiedlereingliederungsgesetz – SächsAEG ) vom 28. Februar 1994 (SächsGVBl. S. 359) wird durch das Sächsische Staatsministerium des Innern verordnet:</w:t>
      </w:r>
    </w:p>
    <w:p>
      <w:r>
        <w:rPr>
          <w:color w:val="555555"/>
          <w:sz w:val="17"/>
        </w:rPr>
        <w:t xml:space="preserve">Zitiervorschlag: Eingangsformel EglZuVO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https://recht.nulegal.eu/gesetze/EglZuVO/eingangsformel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